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p>
      <w:pPr>
        <w:pStyle w:val="Title"/>
        <w:spacing w:before="1700"/>
      </w:pPr>
      <w:r>
        <w:t>Комерційна пропозиція</w:t>
      </w:r>
    </w:p>
    <w:p>
      <w:r>
        <w:rPr>
          <w:b/>
          <w:color w:val="505A4E"/>
          <w:sz w:val="36"/>
        </w:rPr>
        <w:t>[Назва проєкту або рішення]</w:t>
      </w:r>
    </w:p>
    <w:p>
      <w:r>
        <w:t>Підготовлено для: [Назва клієнта]</w:t>
      </w:r>
    </w:p>
    <w:p>
      <w:r>
        <w:t>Контактна особа: [Ім’я та посада]</w:t>
      </w:r>
    </w:p>
    <w:p>
      <w:r>
        <w:t>Дата: [дд місяць рррр]</w:t>
      </w:r>
    </w:p>
    <w:p>
      <w:r>
        <w:t>Строк дії пропозиції: [кількість] календарних днів</w:t>
      </w:r>
    </w:p>
    <w:p>
      <w:pPr>
        <w:spacing w:before="3100"/>
      </w:pPr>
      <w:r>
        <w:rPr>
          <w:color w:val="464E44"/>
          <w:sz w:val="24"/>
        </w:rPr>
        <w:t>StartX розробляє механіку, електроніку та програмне забезпечення і проводить інтеграцію та випробування в межах одного проєкту.</w:t>
      </w:r>
    </w:p>
    <w:p>
      <w:r>
        <w:br w:type="page"/>
      </w:r>
    </w:p>
    <w:p>
      <w:pPr>
        <w:spacing w:after="200"/>
      </w:pPr>
    </w:p>
    <w:p>
      <w:pPr>
        <w:pStyle w:val="Heading1"/>
      </w:pPr>
      <w:r>
        <w:t>Задача клієнта</w:t>
      </w:r>
    </w:p>
    <w:p>
      <w:r>
        <w:t>Ця пропозиція описує рекомендований обсяг робіт, очікувані результати, етапи, бюджет і умови взаємодії для проєкту [назва проєкту].</w:t>
      </w:r>
    </w:p>
    <w:p>
      <w:pPr>
        <w:pStyle w:val="Heading2"/>
      </w:pPr>
      <w:r>
        <w:t>Вихідні вимоги</w:t>
      </w:r>
    </w:p>
    <w:p>
      <w:pPr>
        <w:pStyle w:val="ListBullet"/>
      </w:pPr>
      <w:r>
        <w:t>Цільовий сценарій використання: [опис]</w:t>
      </w:r>
    </w:p>
    <w:p>
      <w:pPr>
        <w:pStyle w:val="ListBullet"/>
      </w:pPr>
      <w:r>
        <w:t>Ключові функції системи: [перелік]</w:t>
      </w:r>
    </w:p>
    <w:p>
      <w:pPr>
        <w:pStyle w:val="ListBullet"/>
      </w:pPr>
      <w:r>
        <w:t>Умови експлуатації та обмеження: [опис]</w:t>
      </w:r>
    </w:p>
    <w:p>
      <w:pPr>
        <w:pStyle w:val="ListBullet"/>
      </w:pPr>
      <w:r>
        <w:t>Критерії приймання: [вимірювані критерії]</w:t>
      </w:r>
    </w:p>
    <w:p>
      <w:pPr>
        <w:pStyle w:val="Heading2"/>
      </w:pPr>
      <w:r>
        <w:t>Запропонований підхід</w:t>
      </w:r>
    </w:p>
    <w:p>
      <w:r>
        <w:t>Команда StartX уточнює вимоги, формує архітектуру, розробляє компоненти, інтегрує систему та перевіряє результат за погодженими критеріями. Остаточний склад робіт фіксують перед початком кожного етапу.</w:t>
      </w:r>
    </w:p>
    <w:p>
      <w:r>
        <w:br w:type="page"/>
      </w:r>
    </w:p>
    <w:p>
      <w:pPr>
        <w:spacing w:after="200"/>
      </w:pPr>
    </w:p>
    <w:p>
      <w:pPr>
        <w:pStyle w:val="Heading1"/>
      </w:pPr>
      <w:r>
        <w:t>Обсяг робіт і результати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D9D9"/>
          <w:left w:val="single" w:sz="6" w:color="D9D9D9"/>
          <w:bottom w:val="single" w:sz="6" w:color="D9D9D9"/>
          <w:right w:val="single" w:sz="6" w:color="D9D9D9"/>
          <w:insideH w:val="single" w:sz="6" w:color="D9D9D9"/>
          <w:insideV w:val="single" w:sz="6" w:color="D9D9D9"/>
        </w:tblBorders>
      </w:tblPr>
      <w:tblGrid>
        <w:gridCol w:w="1728"/>
        <w:gridCol w:w="2520"/>
        <w:gridCol w:w="2664"/>
        <w:gridCol w:w="2448"/>
      </w:tblGrid>
      <w:tr>
        <w:tc>
          <w:tcPr>
            <w:tcW w:type="dxa" w:w="172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10170E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Етап</w:t>
            </w:r>
          </w:p>
        </w:tc>
        <w:tc>
          <w:tcPr>
            <w:tcW w:type="dxa" w:w="252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10170E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Роботи</w:t>
            </w:r>
          </w:p>
        </w:tc>
        <w:tc>
          <w:tcPr>
            <w:tcW w:type="dxa" w:w="266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10170E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Результат</w:t>
            </w:r>
          </w:p>
        </w:tc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10170E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Критерій приймання</w:t>
            </w:r>
          </w:p>
        </w:tc>
      </w:tr>
      <w:tr>
        <w:tc>
          <w:tcPr>
            <w:tcW w:type="dxa" w:w="172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01 Аналіз</w:t>
            </w:r>
          </w:p>
        </w:tc>
        <w:tc>
          <w:tcPr>
            <w:tcW w:type="dxa" w:w="252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[Уточнення вимог і обмежень]</w:t>
            </w:r>
          </w:p>
        </w:tc>
        <w:tc>
          <w:tcPr>
            <w:tcW w:type="dxa" w:w="266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[Технічні вимоги]</w:t>
            </w:r>
          </w:p>
        </w:tc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[Погодження документа]</w:t>
            </w:r>
          </w:p>
        </w:tc>
      </w:tr>
      <w:tr>
        <w:tc>
          <w:tcPr>
            <w:tcW w:type="dxa" w:w="172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02 Проєктування</w:t>
            </w:r>
          </w:p>
        </w:tc>
        <w:tc>
          <w:tcPr>
            <w:tcW w:type="dxa" w:w="252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[Архітектура і конструкція]</w:t>
            </w:r>
          </w:p>
        </w:tc>
        <w:tc>
          <w:tcPr>
            <w:tcW w:type="dxa" w:w="266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[Моделі, схеми, специфікація]</w:t>
            </w:r>
          </w:p>
        </w:tc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[Рев’ю рішення]</w:t>
            </w:r>
          </w:p>
        </w:tc>
      </w:tr>
      <w:tr>
        <w:tc>
          <w:tcPr>
            <w:tcW w:type="dxa" w:w="172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03 Реалізація</w:t>
            </w:r>
          </w:p>
        </w:tc>
        <w:tc>
          <w:tcPr>
            <w:tcW w:type="dxa" w:w="252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[Виготовлення і розробка]</w:t>
            </w:r>
          </w:p>
        </w:tc>
        <w:tc>
          <w:tcPr>
            <w:tcW w:type="dxa" w:w="266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[Прототип або програмний модуль]</w:t>
            </w:r>
          </w:p>
        </w:tc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[Функціональна перевірка]</w:t>
            </w:r>
          </w:p>
        </w:tc>
      </w:tr>
      <w:tr>
        <w:tc>
          <w:tcPr>
            <w:tcW w:type="dxa" w:w="172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04 Інтеграція</w:t>
            </w:r>
          </w:p>
        </w:tc>
        <w:tc>
          <w:tcPr>
            <w:tcW w:type="dxa" w:w="252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[Складання компонентів]</w:t>
            </w:r>
          </w:p>
        </w:tc>
        <w:tc>
          <w:tcPr>
            <w:tcW w:type="dxa" w:w="266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[Інтегрована система]</w:t>
            </w:r>
          </w:p>
        </w:tc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[Протокол інтеграції]</w:t>
            </w:r>
          </w:p>
        </w:tc>
      </w:tr>
      <w:tr>
        <w:tc>
          <w:tcPr>
            <w:tcW w:type="dxa" w:w="172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05 Випробування</w:t>
            </w:r>
          </w:p>
        </w:tc>
        <w:tc>
          <w:tcPr>
            <w:tcW w:type="dxa" w:w="252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[Перевірка за сценаріями]</w:t>
            </w:r>
          </w:p>
        </w:tc>
        <w:tc>
          <w:tcPr>
            <w:tcW w:type="dxa" w:w="266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[Звіт і комплект документації]</w:t>
            </w:r>
          </w:p>
        </w:tc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[Підписаний акт або протокол]</w:t>
            </w:r>
          </w:p>
        </w:tc>
      </w:tr>
    </w:tbl>
    <w:p>
      <w:pPr>
        <w:pStyle w:val="Heading2"/>
      </w:pPr>
      <w:r>
        <w:t>Поза обсягом</w:t>
      </w:r>
    </w:p>
    <w:p>
      <w:r>
        <w:t>[Перелік робіт, обладнання, сертифікації або сторонніх послуг, які не входять у цю пропозицію.]</w:t>
      </w:r>
    </w:p>
    <w:p>
      <w:r>
        <w:br w:type="page"/>
      </w:r>
    </w:p>
    <w:p>
      <w:pPr>
        <w:spacing w:after="200"/>
      </w:pPr>
    </w:p>
    <w:p>
      <w:pPr>
        <w:pStyle w:val="Heading1"/>
      </w:pPr>
      <w:r>
        <w:t>План і взаємодія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D9D9"/>
          <w:left w:val="single" w:sz="6" w:color="D9D9D9"/>
          <w:bottom w:val="single" w:sz="6" w:color="D9D9D9"/>
          <w:right w:val="single" w:sz="6" w:color="D9D9D9"/>
          <w:insideH w:val="single" w:sz="6" w:color="D9D9D9"/>
          <w:insideV w:val="single" w:sz="6" w:color="D9D9D9"/>
        </w:tblBorders>
      </w:tblPr>
      <w:tblGrid>
        <w:gridCol w:w="2016"/>
        <w:gridCol w:w="1800"/>
        <w:gridCol w:w="2952"/>
        <w:gridCol w:w="2880"/>
      </w:tblGrid>
      <w:tr>
        <w:tc>
          <w:tcPr>
            <w:tcW w:type="dxa" w:w="201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10170E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Етап</w:t>
            </w:r>
          </w:p>
        </w:tc>
        <w:tc>
          <w:tcPr>
            <w:tcW w:type="dxa" w:w="180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10170E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Тривалість</w:t>
            </w:r>
          </w:p>
        </w:tc>
        <w:tc>
          <w:tcPr>
            <w:tcW w:type="dxa" w:w="29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10170E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Контрольна точка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10170E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Умова старту</w:t>
            </w:r>
          </w:p>
        </w:tc>
      </w:tr>
      <w:tr>
        <w:tc>
          <w:tcPr>
            <w:tcW w:type="dxa" w:w="201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Аналіз</w:t>
            </w:r>
          </w:p>
        </w:tc>
        <w:tc>
          <w:tcPr>
            <w:tcW w:type="dxa" w:w="180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[днів]</w:t>
            </w:r>
          </w:p>
        </w:tc>
        <w:tc>
          <w:tcPr>
            <w:tcW w:type="dxa" w:w="29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Погоджені вимоги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Передплата і вихідні дані</w:t>
            </w:r>
          </w:p>
        </w:tc>
      </w:tr>
      <w:tr>
        <w:tc>
          <w:tcPr>
            <w:tcW w:type="dxa" w:w="201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Проєктування</w:t>
            </w:r>
          </w:p>
        </w:tc>
        <w:tc>
          <w:tcPr>
            <w:tcW w:type="dxa" w:w="180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[тижнів]</w:t>
            </w:r>
          </w:p>
        </w:tc>
        <w:tc>
          <w:tcPr>
            <w:tcW w:type="dxa" w:w="29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Рев’ю архітектури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Погоджені вимоги</w:t>
            </w:r>
          </w:p>
        </w:tc>
      </w:tr>
      <w:tr>
        <w:tc>
          <w:tcPr>
            <w:tcW w:type="dxa" w:w="201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Реалізація</w:t>
            </w:r>
          </w:p>
        </w:tc>
        <w:tc>
          <w:tcPr>
            <w:tcW w:type="dxa" w:w="180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[тижнів]</w:t>
            </w:r>
          </w:p>
        </w:tc>
        <w:tc>
          <w:tcPr>
            <w:tcW w:type="dxa" w:w="29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Демонстрація прототипу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Погоджена архітектура</w:t>
            </w:r>
          </w:p>
        </w:tc>
      </w:tr>
      <w:tr>
        <w:tc>
          <w:tcPr>
            <w:tcW w:type="dxa" w:w="201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Випробування</w:t>
            </w:r>
          </w:p>
        </w:tc>
        <w:tc>
          <w:tcPr>
            <w:tcW w:type="dxa" w:w="180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[днів]</w:t>
            </w:r>
          </w:p>
        </w:tc>
        <w:tc>
          <w:tcPr>
            <w:tcW w:type="dxa" w:w="29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Протокол результатів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Готовність прототипу</w:t>
            </w:r>
          </w:p>
        </w:tc>
      </w:tr>
    </w:tbl>
    <w:p>
      <w:pPr>
        <w:pStyle w:val="Heading2"/>
      </w:pPr>
      <w:r>
        <w:t>Відповідальність сторін</w:t>
      </w:r>
    </w:p>
    <w:p>
      <w:r>
        <w:t>StartX: виконує погоджені роботи, повідомляє про прогрес і ризики, передає результати та документацію.</w:t>
      </w:r>
    </w:p>
    <w:p>
      <w:r>
        <w:t>Клієнт: надає вихідні дані, доступи й обладнання, своєчасно погоджує рішення та приймає результати за визначеними критеріями.</w:t>
      </w:r>
    </w:p>
    <w:p>
      <w:r>
        <w:br w:type="page"/>
      </w:r>
    </w:p>
    <w:p>
      <w:pPr>
        <w:spacing w:after="200"/>
      </w:pPr>
    </w:p>
    <w:p>
      <w:pPr>
        <w:pStyle w:val="Heading1"/>
      </w:pPr>
      <w:r>
        <w:t>Бюджет і комерційні умови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D9D9"/>
          <w:left w:val="single" w:sz="6" w:color="D9D9D9"/>
          <w:bottom w:val="single" w:sz="6" w:color="D9D9D9"/>
          <w:right w:val="single" w:sz="6" w:color="D9D9D9"/>
          <w:insideH w:val="single" w:sz="6" w:color="D9D9D9"/>
          <w:insideV w:val="single" w:sz="6" w:color="D9D9D9"/>
        </w:tblBorders>
      </w:tblPr>
      <w:tblGrid>
        <w:gridCol w:w="3024"/>
        <w:gridCol w:w="1584"/>
        <w:gridCol w:w="2592"/>
        <w:gridCol w:w="2448"/>
      </w:tblGrid>
      <w:tr>
        <w:tc>
          <w:tcPr>
            <w:tcW w:type="dxa" w:w="302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10170E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Позиція</w:t>
            </w:r>
          </w:p>
        </w:tc>
        <w:tc>
          <w:tcPr>
            <w:tcW w:type="dxa" w:w="158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10170E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Кількість</w:t>
            </w:r>
          </w:p>
        </w:tc>
        <w:tc>
          <w:tcPr>
            <w:tcW w:type="dxa" w:w="259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10170E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Вартість без ПДВ</w:t>
            </w:r>
          </w:p>
        </w:tc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10170E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Примітка</w:t>
            </w:r>
          </w:p>
        </w:tc>
      </w:tr>
      <w:tr>
        <w:tc>
          <w:tcPr>
            <w:tcW w:type="dxa" w:w="302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Інженерні роботи</w:t>
            </w:r>
          </w:p>
        </w:tc>
        <w:tc>
          <w:tcPr>
            <w:tcW w:type="dxa" w:w="158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[години або етап]</w:t>
            </w:r>
          </w:p>
        </w:tc>
        <w:tc>
          <w:tcPr>
            <w:tcW w:type="dxa" w:w="259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[сума]</w:t>
            </w:r>
          </w:p>
        </w:tc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[ставка або фіксована ціна]</w:t>
            </w:r>
          </w:p>
        </w:tc>
      </w:tr>
      <w:tr>
        <w:tc>
          <w:tcPr>
            <w:tcW w:type="dxa" w:w="302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Матеріали й компоненти</w:t>
            </w:r>
          </w:p>
        </w:tc>
        <w:tc>
          <w:tcPr>
            <w:tcW w:type="dxa" w:w="158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[кількість]</w:t>
            </w:r>
          </w:p>
        </w:tc>
        <w:tc>
          <w:tcPr>
            <w:tcW w:type="dxa" w:w="259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[сума]</w:t>
            </w:r>
          </w:p>
        </w:tc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[за специфікацією]</w:t>
            </w:r>
          </w:p>
        </w:tc>
      </w:tr>
      <w:tr>
        <w:tc>
          <w:tcPr>
            <w:tcW w:type="dxa" w:w="302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Виготовлення</w:t>
            </w:r>
          </w:p>
        </w:tc>
        <w:tc>
          <w:tcPr>
            <w:tcW w:type="dxa" w:w="158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[кількість]</w:t>
            </w:r>
          </w:p>
        </w:tc>
        <w:tc>
          <w:tcPr>
            <w:tcW w:type="dxa" w:w="259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[сума]</w:t>
            </w:r>
          </w:p>
        </w:tc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[3D друк, механіка, PCB]</w:t>
            </w:r>
          </w:p>
        </w:tc>
      </w:tr>
      <w:tr>
        <w:tc>
          <w:tcPr>
            <w:tcW w:type="dxa" w:w="302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Випробування</w:t>
            </w:r>
          </w:p>
        </w:tc>
        <w:tc>
          <w:tcPr>
            <w:tcW w:type="dxa" w:w="158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[кількість]</w:t>
            </w:r>
          </w:p>
        </w:tc>
        <w:tc>
          <w:tcPr>
            <w:tcW w:type="dxa" w:w="259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[сума]</w:t>
            </w:r>
          </w:p>
        </w:tc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[майданчик і обладнання]</w:t>
            </w:r>
          </w:p>
        </w:tc>
      </w:tr>
      <w:tr>
        <w:tc>
          <w:tcPr>
            <w:tcW w:type="dxa" w:w="302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Разом</w:t>
            </w:r>
          </w:p>
        </w:tc>
        <w:tc>
          <w:tcPr>
            <w:tcW w:type="dxa" w:w="158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/>
          </w:p>
        </w:tc>
        <w:tc>
          <w:tcPr>
            <w:tcW w:type="dxa" w:w="259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[сума]</w:t>
            </w:r>
          </w:p>
        </w:tc>
        <w:tc>
          <w:tcPr>
            <w:tcW w:type="dxa" w:w="244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[валюта і податки]</w:t>
            </w:r>
          </w:p>
        </w:tc>
      </w:tr>
    </w:tbl>
    <w:p>
      <w:pPr>
        <w:pStyle w:val="Heading2"/>
      </w:pPr>
      <w:r>
        <w:t>Оплата</w:t>
      </w:r>
    </w:p>
    <w:p>
      <w:r>
        <w:t>[Приклад структури: передплата за етап, оплата після контрольної точки, окрема оплата погоджених змін.]</w:t>
      </w:r>
    </w:p>
    <w:p>
      <w:pPr>
        <w:pStyle w:val="Heading2"/>
      </w:pPr>
      <w:r>
        <w:t>Зміни та ризики</w:t>
      </w:r>
    </w:p>
    <w:p>
      <w:r>
        <w:t>Зміни функцій, строків або бюджету сторони погоджують письмово до виконання додаткових робіт. Ризики, що залежать від сторонніх компонентів, дозволів або вихідних даних клієнта, фіксують у плані проєкту.</w:t>
      </w:r>
    </w:p>
    <w:p>
      <w:r>
        <w:br w:type="page"/>
      </w:r>
    </w:p>
    <w:p>
      <w:pPr>
        <w:spacing w:after="200"/>
      </w:pPr>
    </w:p>
    <w:p>
      <w:pPr>
        <w:pStyle w:val="Heading1"/>
      </w:pPr>
      <w:r>
        <w:t>Приймання і наступний крок</w:t>
      </w:r>
    </w:p>
    <w:p>
      <w:r>
        <w:t>Клієнт приймає кожен етап за результатами та критеріями, зазначеними в цій пропозиції. Гарантійні умови, строки підтримки, права на результати й конфіденційність фіксують у договорі або додатку до нього.</w:t>
      </w:r>
    </w:p>
    <w:p>
      <w:pPr>
        <w:pStyle w:val="Heading2"/>
      </w:pPr>
      <w:r>
        <w:t>Для старту проєкту</w:t>
      </w:r>
    </w:p>
    <w:p>
      <w:pPr>
        <w:pStyle w:val="ListBullet"/>
      </w:pPr>
      <w:r>
        <w:t>Погодити обсяг і критерії приймання</w:t>
      </w:r>
    </w:p>
    <w:p>
      <w:pPr>
        <w:pStyle w:val="ListBullet"/>
      </w:pPr>
      <w:r>
        <w:t>Підтвердити бюджет та графік оплати</w:t>
      </w:r>
    </w:p>
    <w:p>
      <w:pPr>
        <w:pStyle w:val="ListBullet"/>
      </w:pPr>
      <w:r>
        <w:t>Призначити відповідальних осіб</w:t>
      </w:r>
    </w:p>
    <w:p>
      <w:pPr>
        <w:pStyle w:val="ListBullet"/>
      </w:pPr>
      <w:r>
        <w:t>Передати необхідні вихідні дані</w:t>
      </w:r>
    </w:p>
    <w:p>
      <w:pPr>
        <w:pStyle w:val="Heading2"/>
      </w:pPr>
      <w:r>
        <w:t>Підтвердження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D9D9"/>
          <w:left w:val="single" w:sz="6" w:color="D9D9D9"/>
          <w:bottom w:val="single" w:sz="6" w:color="D9D9D9"/>
          <w:right w:val="single" w:sz="6" w:color="D9D9D9"/>
          <w:insideH w:val="single" w:sz="6" w:color="D9D9D9"/>
          <w:insideV w:val="single" w:sz="6" w:color="D9D9D9"/>
        </w:tblBorders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10170E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Від StartX</w:t>
            </w:r>
          </w:p>
        </w:tc>
        <w:tc>
          <w:tcPr>
            <w:tcW w:type="dxa" w:w="46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10170E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Від клієнта</w:t>
            </w:r>
          </w:p>
        </w:tc>
      </w:tr>
      <w:tr>
        <w:tc>
          <w:tcPr>
            <w:tcW w:type="dxa" w:w="46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Ім’я та посада: [ ]</w:t>
            </w:r>
          </w:p>
        </w:tc>
        <w:tc>
          <w:tcPr>
            <w:tcW w:type="dxa" w:w="46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t>Ім’я та посада: [ ]</w:t>
            </w:r>
          </w:p>
        </w:tc>
      </w:tr>
      <w:tr>
        <w:tc>
          <w:tcPr>
            <w:tcW w:type="dxa" w:w="46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Дата і підпис: [ ]</w:t>
            </w:r>
          </w:p>
        </w:tc>
        <w:tc>
          <w:tcPr>
            <w:tcW w:type="dxa" w:w="46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4F6F3"/>
          </w:tcPr>
          <w:p>
            <w:r>
              <w:t>Дата і підпис: [ ]</w:t>
            </w:r>
          </w:p>
        </w:tc>
      </w:tr>
    </w:tbl>
    <w:p>
      <w:pPr>
        <w:spacing w:before="680"/>
      </w:pPr>
      <w:r>
        <w:rPr>
          <w:b/>
          <w:color w:val="405A19"/>
          <w:sz w:val="24"/>
        </w:rPr>
        <w:t>Контакт: https://startx.co.ua/contact/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1037" w:right="1123" w:bottom="1037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D655C"/>
        <w:sz w:val="16"/>
      </w:rPr>
      <w:t>StartX  |  startx.co.ua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drawing>
        <wp:inline xmlns:a="http://schemas.openxmlformats.org/drawingml/2006/main" xmlns:pic="http://schemas.openxmlformats.org/drawingml/2006/picture">
          <wp:extent cx="310896" cy="310896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startx-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0896" cy="310896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DejaVu Sans" w:hAnsi="DejaVu Sans"/>
        <w:b/>
        <w:sz w:val="24"/>
      </w:rPr>
      <w:t xml:space="preserve">  StartX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DejaVu Sans" w:hAnsi="DejaVu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4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4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40" w:line="240" w:lineRule="auto" w:before="200"/>
      <w:contextualSpacing/>
    </w:pPr>
    <w:rPr>
      <w:rFonts w:asciiTheme="majorHAnsi" w:eastAsiaTheme="majorEastAsia" w:hAnsiTheme="majorHAnsi" w:cstheme="majorBidi" w:ascii="DejaVu Sans" w:hAnsi="DejaVu Sans"/>
      <w:b/>
      <w:color w:val="00000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